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 Ammi flower seed references clear as plant structures change</w:t>
      </w:r>
    </w:p>
    <w:p>
      <w:r>
        <w:t>White-flowered Ammi references may appear alike in a broad display while representing different catalogue articles and changing plant structures. For retailers, comparison begins with the exact recorded name and supplier code, followed by the growth stage shown in each image. Botanical descriptions can explain what is visible, but they should not be used to extend a photograph into unsupported claims about size, timing, cultivar performance or the whole plant.</w:t>
      </w:r>
    </w:p>
    <w:p>
      <w:pPr>
        <w:pStyle w:val="Heading1"/>
      </w:pPr>
      <w:r>
        <w:t>Confirm the commercial identity</w:t>
      </w:r>
    </w:p>
    <w:p>
      <w:r>
        <w:t>The BSI catalogue retains records for Ammi majus and Ammi visnaga, with the latter also treated under Visnaga daucoides. When preparing an enquiry, preserve the full recorded name and supplier code rather than selecting a reference from appearance alone. This distinction helps identify the intended commercial article and prevents similar white umbels from being described as interchangeable. If an internal botanical-name update creates an alias, retain the original catalogue wording so earlier invoices, reorder documents and customer questions can still be traced to the relevant record. Record the reason for the correction and clarify whether the underlying article changed or only its descriptive name.</w:t>
      </w:r>
    </w:p>
    <w:p>
      <w:pPr>
        <w:pStyle w:val="Heading1"/>
      </w:pPr>
      <w:r>
        <w:t>Read images by growth stage</w:t>
      </w:r>
    </w:p>
    <w:p>
      <w:r>
        <w:t>BSI describes compound umbels for these references and notes that the rays of the Visnaga-related plant change as the fruiting head develops. A flowering head and a later fruiting structure can therefore look different without belonging to different seed articles. Conversely, similar-looking white umbels do not establish that two entries are the same. Keep the stage visible when selecting images and avoid presenting a single developmental structure as a fixed outline of the entire growing plant.</w:t>
      </w:r>
    </w:p>
    <w:p>
      <w:pPr>
        <w:pStyle w:val="Heading1"/>
      </w:pPr>
      <w:r>
        <w:t>Keep descriptions evidence-based</w:t>
      </w:r>
    </w:p>
    <w:p>
      <w:r>
        <w:t>A species description provides botanical context, but it does not establish every characteristic of a cultivar or lot. Do not infer exact size, production timing or other performance claims from the appearance of one photograph. Preserve any recorded colour qualifier as an article-level label without extending it into a promise that applies to every stage of the plant. If a statement matters to the intended retail offer, obtain evidence that applies to the chosen reference. Unanswered questions should remain visible in the working file rather than being replaced by assumptions.</w:t>
      </w:r>
    </w:p>
    <w:p>
      <w:pPr>
        <w:pStyle w:val="Heading1"/>
      </w:pPr>
      <w:r>
        <w:t>Build a useful comparison</w:t>
      </w:r>
    </w:p>
    <w:p>
      <w:r>
        <w:t>Explain the supported difference between selected entries in plain language while keeping botanical details in the specifications. The actual name and supplier code remain the basis for identification; colour and a lacy appearance are supporting visual cues only. Before presenting both lines as useful alternatives, the team should be able to say what distinguishes their commercial records and why both belong in the range. Review the final title, image and source reference together, preserve identity through packing and log questions about changing structures for future improvement.</w:t>
      </w:r>
    </w:p>
    <w:p>
      <w:pPr>
        <w:pStyle w:val="Heading1"/>
      </w:pPr>
      <w:r>
        <w:t>Related articles</w:t>
      </w:r>
    </w:p>
    <w:p>
      <w:hyperlink r:id="rId9">
        <w:r>
          <w:rPr>
            <w:color w:val="087E75"/>
          </w:rPr>
          <w:t>Keep Ammi flower seed references clear as plant structures change</w:t>
        </w:r>
      </w:hyperlink>
    </w:p>
    <w:p>
      <w:hyperlink r:id="rId10">
        <w:r>
          <w:rPr>
            <w:color w:val="087E75"/>
          </w:rPr>
          <w:t>Keep sweet scabious seed separate from other Scabiosa records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pages.dev/keep-ammi-flower-seed-references-clear-as-plant-structures-change/" TargetMode="External"/><Relationship Id="rId10" Type="http://schemas.openxmlformats.org/officeDocument/2006/relationships/hyperlink" Target="https://bulkseedsinternational-en.pages.dev/keep-sweet-scabious-seed-separate-from-other-scabiosa-rec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