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Give love in a mist seed its own Nigella identity</w:t>
      </w:r>
    </w:p>
    <w:p>
      <w:r>
        <w:t>How should a retailer identify love-in-a-mist seeds without losing the friendly flower name customers recognise? The practical answer is to separate the customer-facing description from the precise purchasing record. A common name can make an assortment approachable, while the botanical name, full selection designation and supplier code establish which article is actually being supplied. For Nigella, that distinction helps retailers maintain clear records, preserve separate choices and avoid transferring details from one related entry to another.</w:t>
      </w:r>
    </w:p>
    <w:p>
      <w:pPr>
        <w:pStyle w:val="Heading1"/>
      </w:pPr>
      <w:r>
        <w:t>Identify the actual crop before writing the description</w:t>
      </w:r>
    </w:p>
    <w:p>
      <w:r>
        <w:t>Love-in-a-mist is listed in the BSI catalogue under Nigella damascena, while other Nigella records remain separate. A purchasing request should retain the full botanical name, selection designation and supplier code rather than reducing the item to Nigella alone. A genus-level label can leave several possible references unresolved. The same principle applies to customer copy: a common-name association or a use described for another Nigella should not automatically be presented as information about the ornamental article selected. Resolve the exact reference first, then include only details supported for that reference. A related name can help customers search, but it does not prove that the articles are interchangeable.</w:t>
      </w:r>
    </w:p>
    <w:p>
      <w:pPr>
        <w:pStyle w:val="Heading1"/>
      </w:pPr>
      <w:r>
        <w:t>Preserve named selections and mixtures</w:t>
      </w:r>
    </w:p>
    <w:p>
      <w:r>
        <w:t>When the assortment contains more than one relevant choice, keep the distinctions documented by the catalogue and supporting information. A named selection and a mixture should be maintained as separate commercial choices. Do not infer exact composition, colour balance or performance from a mixture title alone. If one of those details is important to the retail proposition, obtain a relevant specification before making it part of the description. The full designation and supplier code should remain visible in the stock record even when the shelf title is shortened. Customers may be choosing the packet for precisely the detail that a generic nickname would conceal, and reliable references also support receiving checks and reorders.</w:t>
      </w:r>
    </w:p>
    <w:p>
      <w:pPr>
        <w:pStyle w:val="Heading1"/>
      </w:pPr>
      <w:r>
        <w:t>Check the complete visual promise</w:t>
      </w:r>
    </w:p>
    <w:p>
      <w:r>
        <w:t>A photograph can help customers understand the crop, but it should represent the selected article or be used clearly as an illustration. Review imagery against documented colour or form information instead of assuming that any Nigella picture is suitable. An accurate botanical name on the packet does not correct a front image that creates a different expectation. If the image shows a later stage of the plant, explain its role rather than suggesting that customers receive a different product with the seed. Mature flowers and other decorative features may illustrate the intended project, but they should not be presented as guaranteed outcomes for every growing condition.</w:t>
      </w:r>
    </w:p>
    <w:p>
      <w:pPr>
        <w:pStyle w:val="Heading1"/>
      </w:pPr>
      <w:r>
        <w:t>Build an explainable range and searchable aliases</w:t>
      </w:r>
    </w:p>
    <w:p>
      <w:r>
        <w:t>Each range entry should have a clear reason for belonging in the assortment, along with the supported details staff need to communicate. A small set of precisely identified choices is more useful than several similar names that inherit one another's descriptions. Keep unresolved questions in the working file until they can be answered, rather than filling the packet with attractive assumptions. Store common-name aliases separately so wording can change without altering the underlying article identity. This also makes customer searches and questions about everyday names useful inputs for the next description review. Review translations against the same verified reference, and preserve source identity through receiving and retail packing.</w:t>
      </w:r>
    </w:p>
    <w:p>
      <w:pPr>
        <w:pStyle w:val="Heading1"/>
      </w:pPr>
      <w:r>
        <w:t>Related articles</w:t>
      </w:r>
    </w:p>
    <w:p>
      <w:hyperlink r:id="rId9">
        <w:r>
          <w:rPr>
            <w:color w:val="087E75"/>
          </w:rPr>
          <w:t>Give love in a mist seed its own Nigella identity</w:t>
        </w:r>
      </w:hyperlink>
    </w:p>
    <w:p>
      <w:hyperlink r:id="rId10">
        <w:r>
          <w:rPr>
            <w:color w:val="087E75"/>
          </w:rPr>
          <w:t>Keep sweet scabious seed separate from other Scabiosa records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pages.dev/give-love-in-a-mist-seed-its-own-nigella-identity/" TargetMode="External"/><Relationship Id="rId10" Type="http://schemas.openxmlformats.org/officeDocument/2006/relationships/hyperlink" Target="https://bulkseedsinternational-en.pages.dev/keep-sweet-scabious-seed-separate-from-other-scabiosa-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